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5539E" w14:textId="08C5F754" w:rsidR="001A5D0B" w:rsidRDefault="00BD6D83" w:rsidP="00BD6D83">
      <w:pPr>
        <w:pStyle w:val="Heading1"/>
        <w:tabs>
          <w:tab w:val="left" w:pos="6120"/>
        </w:tabs>
        <w:jc w:val="center"/>
        <w:rPr>
          <w:rFonts w:ascii="Arial" w:eastAsia="Arial" w:hAnsi="Arial" w:cs="Arial"/>
        </w:rPr>
      </w:pPr>
      <w:r>
        <w:rPr>
          <w:rFonts w:ascii="Arial" w:eastAsia="Arial" w:hAnsi="Arial" w:cs="Arial"/>
        </w:rPr>
        <w:t xml:space="preserve">Marine Ecosystems and the Cretaceous Western Interior Seaway </w:t>
      </w:r>
      <w:r w:rsidR="0011164B">
        <w:rPr>
          <w:rFonts w:ascii="Arial" w:eastAsia="Arial" w:hAnsi="Arial" w:cs="Arial"/>
        </w:rPr>
        <w:t>Lesson Plan</w:t>
      </w:r>
    </w:p>
    <w:p w14:paraId="375591D7" w14:textId="77777777" w:rsidR="001A5D0B" w:rsidRDefault="0011164B" w:rsidP="00BD6D83">
      <w:pPr>
        <w:jc w:val="both"/>
      </w:pPr>
      <w:r>
        <w:t xml:space="preserve">NAME: </w:t>
      </w:r>
    </w:p>
    <w:p w14:paraId="68C8BCD8" w14:textId="77777777" w:rsidR="001A5D0B" w:rsidRDefault="0011164B" w:rsidP="00BD6D83">
      <w:pPr>
        <w:jc w:val="both"/>
      </w:pPr>
      <w:r>
        <w:t xml:space="preserve">DATE: </w:t>
      </w:r>
    </w:p>
    <w:p w14:paraId="78019F34" w14:textId="77777777" w:rsidR="001A5D0B" w:rsidRDefault="001A5D0B">
      <w:pPr>
        <w:jc w:val="right"/>
      </w:pPr>
    </w:p>
    <w:tbl>
      <w:tblPr>
        <w:tblStyle w:val="a"/>
        <w:tblW w:w="10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4"/>
        <w:gridCol w:w="4268"/>
        <w:gridCol w:w="5566"/>
      </w:tblGrid>
      <w:tr w:rsidR="001A5D0B" w14:paraId="3EB6E1E2" w14:textId="77777777" w:rsidTr="005445B7">
        <w:trPr>
          <w:jc w:val="center"/>
        </w:trPr>
        <w:tc>
          <w:tcPr>
            <w:tcW w:w="714" w:type="dxa"/>
            <w:vMerge w:val="restart"/>
            <w:textDirection w:val="btLr"/>
          </w:tcPr>
          <w:p w14:paraId="71458DF1" w14:textId="276D2FA7" w:rsidR="001A5D0B" w:rsidRDefault="005445B7">
            <w:pPr>
              <w:ind w:left="113" w:right="113"/>
              <w:jc w:val="center"/>
              <w:rPr>
                <w:rFonts w:ascii="Arial" w:eastAsia="Arial" w:hAnsi="Arial" w:cs="Arial"/>
                <w:sz w:val="22"/>
                <w:szCs w:val="22"/>
              </w:rPr>
            </w:pPr>
            <w:r>
              <w:rPr>
                <w:rFonts w:ascii="Arial" w:eastAsia="Arial" w:hAnsi="Arial" w:cs="Arial"/>
                <w:sz w:val="22"/>
                <w:szCs w:val="22"/>
              </w:rPr>
              <w:t>Defining Success</w:t>
            </w:r>
          </w:p>
        </w:tc>
        <w:tc>
          <w:tcPr>
            <w:tcW w:w="9834" w:type="dxa"/>
            <w:gridSpan w:val="2"/>
            <w:shd w:val="clear" w:color="auto" w:fill="E6E6E6"/>
          </w:tcPr>
          <w:p w14:paraId="146340BA" w14:textId="77777777" w:rsidR="001A5D0B" w:rsidRDefault="0011164B">
            <w:pPr>
              <w:rPr>
                <w:rFonts w:ascii="EB Garamond" w:eastAsia="EB Garamond" w:hAnsi="EB Garamond" w:cs="EB Garamond"/>
                <w:sz w:val="22"/>
                <w:szCs w:val="22"/>
              </w:rPr>
            </w:pPr>
            <w:r>
              <w:rPr>
                <w:rFonts w:ascii="Arial" w:eastAsia="Arial" w:hAnsi="Arial" w:cs="Arial"/>
                <w:sz w:val="22"/>
                <w:szCs w:val="22"/>
              </w:rPr>
              <w:t>OBJECTIVE.</w:t>
            </w:r>
            <w:r>
              <w:rPr>
                <w:rFonts w:ascii="DINCond-Bold" w:eastAsia="DINCond-Bold" w:hAnsi="DINCond-Bold" w:cs="DINCond-Bold"/>
                <w:sz w:val="22"/>
                <w:szCs w:val="22"/>
              </w:rPr>
              <w:t xml:space="preserve"> </w:t>
            </w:r>
            <w:r>
              <w:rPr>
                <w:rFonts w:ascii="EB Garamond" w:eastAsia="EB Garamond" w:hAnsi="EB Garamond" w:cs="EB Garamond"/>
                <w:sz w:val="22"/>
                <w:szCs w:val="22"/>
              </w:rPr>
              <w:t xml:space="preserve">(Include standards.) </w:t>
            </w:r>
          </w:p>
        </w:tc>
      </w:tr>
      <w:tr w:rsidR="001A5D0B" w14:paraId="3E72E2DF" w14:textId="77777777">
        <w:trPr>
          <w:jc w:val="center"/>
        </w:trPr>
        <w:tc>
          <w:tcPr>
            <w:tcW w:w="714" w:type="dxa"/>
            <w:vMerge/>
          </w:tcPr>
          <w:p w14:paraId="09046B6E"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2"/>
                <w:szCs w:val="22"/>
              </w:rPr>
            </w:pPr>
          </w:p>
        </w:tc>
        <w:tc>
          <w:tcPr>
            <w:tcW w:w="9834" w:type="dxa"/>
            <w:gridSpan w:val="2"/>
          </w:tcPr>
          <w:p w14:paraId="099A03A7" w14:textId="77777777" w:rsidR="001A5D0B" w:rsidRDefault="001A5D0B">
            <w:pPr>
              <w:rPr>
                <w:rFonts w:ascii="EB Garamond" w:eastAsia="EB Garamond" w:hAnsi="EB Garamond" w:cs="EB Garamond"/>
                <w:sz w:val="22"/>
                <w:szCs w:val="22"/>
              </w:rPr>
            </w:pPr>
          </w:p>
          <w:p w14:paraId="6F815DFB" w14:textId="73DE37E9" w:rsidR="00FF7C5A" w:rsidRDefault="005445B7">
            <w:pPr>
              <w:rPr>
                <w:rFonts w:ascii="EB Garamond" w:eastAsia="EB Garamond" w:hAnsi="EB Garamond" w:cs="EB Garamond"/>
                <w:i/>
                <w:iCs/>
                <w:sz w:val="22"/>
                <w:szCs w:val="22"/>
              </w:rPr>
            </w:pPr>
            <w:r>
              <w:rPr>
                <w:rFonts w:ascii="EB Garamond" w:eastAsia="EB Garamond" w:hAnsi="EB Garamond" w:cs="EB Garamond"/>
                <w:i/>
                <w:iCs/>
                <w:sz w:val="22"/>
                <w:szCs w:val="22"/>
              </w:rPr>
              <w:t xml:space="preserve">Students will be able to investigate the food web of the </w:t>
            </w:r>
            <w:r w:rsidR="006E68AF">
              <w:rPr>
                <w:rFonts w:ascii="EB Garamond" w:eastAsia="EB Garamond" w:hAnsi="EB Garamond" w:cs="EB Garamond"/>
                <w:i/>
                <w:iCs/>
                <w:sz w:val="22"/>
                <w:szCs w:val="22"/>
              </w:rPr>
              <w:t xml:space="preserve">Cretaceous </w:t>
            </w:r>
            <w:r>
              <w:rPr>
                <w:rFonts w:ascii="EB Garamond" w:eastAsia="EB Garamond" w:hAnsi="EB Garamond" w:cs="EB Garamond"/>
                <w:i/>
                <w:iCs/>
                <w:sz w:val="22"/>
                <w:szCs w:val="22"/>
              </w:rPr>
              <w:t xml:space="preserve">Western Interior Seaway. </w:t>
            </w:r>
          </w:p>
          <w:p w14:paraId="748AC2FB" w14:textId="5909FED0" w:rsidR="001A5D0B" w:rsidRPr="005445B7" w:rsidRDefault="005445B7">
            <w:pPr>
              <w:rPr>
                <w:rFonts w:ascii="EB Garamond" w:eastAsia="EB Garamond" w:hAnsi="EB Garamond" w:cs="EB Garamond"/>
                <w:i/>
                <w:iCs/>
                <w:sz w:val="22"/>
                <w:szCs w:val="22"/>
              </w:rPr>
            </w:pPr>
            <w:r>
              <w:rPr>
                <w:rFonts w:ascii="EB Garamond" w:eastAsia="EB Garamond" w:hAnsi="EB Garamond" w:cs="EB Garamond"/>
                <w:i/>
                <w:iCs/>
                <w:sz w:val="22"/>
                <w:szCs w:val="22"/>
              </w:rPr>
              <w:t xml:space="preserve">Students will be able to compare and contrast land and ocean ecosystems. </w:t>
            </w:r>
          </w:p>
          <w:p w14:paraId="0A67028F" w14:textId="77777777" w:rsidR="001A5D0B" w:rsidRDefault="001A5D0B">
            <w:pPr>
              <w:rPr>
                <w:rFonts w:ascii="EB Garamond" w:eastAsia="EB Garamond" w:hAnsi="EB Garamond" w:cs="EB Garamond"/>
                <w:sz w:val="22"/>
                <w:szCs w:val="22"/>
              </w:rPr>
            </w:pPr>
          </w:p>
          <w:p w14:paraId="2CD9E6AA" w14:textId="77777777" w:rsidR="001A5D0B" w:rsidRDefault="001A5D0B">
            <w:pPr>
              <w:rPr>
                <w:rFonts w:ascii="EB Garamond" w:eastAsia="EB Garamond" w:hAnsi="EB Garamond" w:cs="EB Garamond"/>
                <w:sz w:val="22"/>
                <w:szCs w:val="22"/>
              </w:rPr>
            </w:pPr>
          </w:p>
        </w:tc>
      </w:tr>
      <w:tr w:rsidR="00F0203E" w14:paraId="30E639EB" w14:textId="77777777">
        <w:trPr>
          <w:jc w:val="center"/>
        </w:trPr>
        <w:tc>
          <w:tcPr>
            <w:tcW w:w="714" w:type="dxa"/>
            <w:vMerge/>
          </w:tcPr>
          <w:p w14:paraId="1A7F54DA" w14:textId="77777777" w:rsidR="00F0203E" w:rsidRDefault="00F0203E">
            <w:pPr>
              <w:widowControl w:val="0"/>
              <w:pBdr>
                <w:top w:val="nil"/>
                <w:left w:val="nil"/>
                <w:bottom w:val="nil"/>
                <w:right w:val="nil"/>
                <w:between w:val="nil"/>
              </w:pBdr>
              <w:spacing w:line="276" w:lineRule="auto"/>
              <w:rPr>
                <w:rFonts w:ascii="EB Garamond" w:eastAsia="EB Garamond" w:hAnsi="EB Garamond" w:cs="EB Garamond"/>
                <w:sz w:val="22"/>
                <w:szCs w:val="22"/>
              </w:rPr>
            </w:pPr>
          </w:p>
        </w:tc>
        <w:tc>
          <w:tcPr>
            <w:tcW w:w="9834" w:type="dxa"/>
            <w:gridSpan w:val="2"/>
          </w:tcPr>
          <w:p w14:paraId="21E6DE2D" w14:textId="4C1DCA67" w:rsidR="00F0203E" w:rsidRDefault="00F0203E">
            <w:pPr>
              <w:rPr>
                <w:rFonts w:ascii="EB Garamond" w:eastAsia="EB Garamond" w:hAnsi="EB Garamond" w:cs="EB Garamond"/>
                <w:sz w:val="22"/>
                <w:szCs w:val="22"/>
              </w:rPr>
            </w:pPr>
            <w:r>
              <w:rPr>
                <w:rFonts w:ascii="EB Garamond" w:eastAsia="EB Garamond" w:hAnsi="EB Garamond" w:cs="EB Garamond"/>
                <w:sz w:val="22"/>
                <w:szCs w:val="22"/>
              </w:rPr>
              <w:t xml:space="preserve">Next Gen Standards: </w:t>
            </w:r>
            <w:r w:rsidR="00E6158F">
              <w:rPr>
                <w:rFonts w:ascii="EB Garamond" w:eastAsia="EB Garamond" w:hAnsi="EB Garamond" w:cs="EB Garamond"/>
                <w:sz w:val="22"/>
                <w:szCs w:val="22"/>
              </w:rPr>
              <w:t>MS-LS</w:t>
            </w:r>
            <w:r w:rsidR="00794FD7">
              <w:rPr>
                <w:rFonts w:ascii="EB Garamond" w:eastAsia="EB Garamond" w:hAnsi="EB Garamond" w:cs="EB Garamond"/>
                <w:sz w:val="22"/>
                <w:szCs w:val="22"/>
              </w:rPr>
              <w:t>2-2, MS-LS2-5, MS-ESS1-4</w:t>
            </w:r>
          </w:p>
        </w:tc>
      </w:tr>
      <w:tr w:rsidR="001A5D0B" w14:paraId="1D3158E2" w14:textId="77777777">
        <w:trPr>
          <w:jc w:val="center"/>
        </w:trPr>
        <w:tc>
          <w:tcPr>
            <w:tcW w:w="714" w:type="dxa"/>
            <w:vMerge/>
          </w:tcPr>
          <w:p w14:paraId="58765A0E"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2"/>
                <w:szCs w:val="22"/>
              </w:rPr>
            </w:pPr>
          </w:p>
        </w:tc>
        <w:tc>
          <w:tcPr>
            <w:tcW w:w="4268" w:type="dxa"/>
            <w:shd w:val="clear" w:color="auto" w:fill="E6E6E6"/>
          </w:tcPr>
          <w:p w14:paraId="4F69AB25" w14:textId="77777777" w:rsidR="001A5D0B" w:rsidRDefault="0011164B">
            <w:pPr>
              <w:rPr>
                <w:rFonts w:ascii="DINCond-Bold" w:eastAsia="DINCond-Bold" w:hAnsi="DINCond-Bold" w:cs="DINCond-Bold"/>
                <w:sz w:val="22"/>
                <w:szCs w:val="22"/>
              </w:rPr>
            </w:pPr>
            <w:r>
              <w:rPr>
                <w:rFonts w:ascii="Arial" w:eastAsia="Arial" w:hAnsi="Arial" w:cs="Arial"/>
                <w:sz w:val="22"/>
                <w:szCs w:val="22"/>
              </w:rPr>
              <w:t>ASSESSMENT.</w:t>
            </w:r>
            <w:r>
              <w:rPr>
                <w:rFonts w:ascii="DINCond-Bold" w:eastAsia="DINCond-Bold" w:hAnsi="DINCond-Bold" w:cs="DINCond-Bold"/>
                <w:sz w:val="22"/>
                <w:szCs w:val="22"/>
              </w:rPr>
              <w:t xml:space="preserve"> </w:t>
            </w:r>
          </w:p>
        </w:tc>
        <w:tc>
          <w:tcPr>
            <w:tcW w:w="5566" w:type="dxa"/>
            <w:shd w:val="clear" w:color="auto" w:fill="E6E6E6"/>
          </w:tcPr>
          <w:p w14:paraId="23D77F0A" w14:textId="77777777" w:rsidR="001A5D0B" w:rsidRDefault="0011164B">
            <w:pPr>
              <w:rPr>
                <w:rFonts w:ascii="DINCond-Bold" w:eastAsia="DINCond-Bold" w:hAnsi="DINCond-Bold" w:cs="DINCond-Bold"/>
                <w:sz w:val="22"/>
                <w:szCs w:val="22"/>
              </w:rPr>
            </w:pPr>
            <w:bookmarkStart w:id="0" w:name="_gjdgxs" w:colFirst="0" w:colLast="0"/>
            <w:bookmarkEnd w:id="0"/>
            <w:r>
              <w:rPr>
                <w:rFonts w:ascii="Arial" w:eastAsia="Arial" w:hAnsi="Arial" w:cs="Arial"/>
                <w:sz w:val="22"/>
                <w:szCs w:val="22"/>
              </w:rPr>
              <w:t>KEY POINTS.</w:t>
            </w:r>
            <w:r>
              <w:rPr>
                <w:rFonts w:ascii="DINCond-Bold" w:eastAsia="DINCond-Bold" w:hAnsi="DINCond-Bold" w:cs="DINCond-Bold"/>
                <w:sz w:val="22"/>
                <w:szCs w:val="22"/>
              </w:rPr>
              <w:t xml:space="preserve"> </w:t>
            </w:r>
          </w:p>
        </w:tc>
      </w:tr>
      <w:tr w:rsidR="001A5D0B" w14:paraId="43E2C2A1" w14:textId="77777777">
        <w:trPr>
          <w:jc w:val="center"/>
        </w:trPr>
        <w:tc>
          <w:tcPr>
            <w:tcW w:w="714" w:type="dxa"/>
            <w:vMerge/>
          </w:tcPr>
          <w:p w14:paraId="092B9D10" w14:textId="77777777" w:rsidR="001A5D0B" w:rsidRDefault="001A5D0B">
            <w:pPr>
              <w:widowControl w:val="0"/>
              <w:pBdr>
                <w:top w:val="nil"/>
                <w:left w:val="nil"/>
                <w:bottom w:val="nil"/>
                <w:right w:val="nil"/>
                <w:between w:val="nil"/>
              </w:pBdr>
              <w:spacing w:line="276" w:lineRule="auto"/>
              <w:rPr>
                <w:rFonts w:ascii="DINCond-Bold" w:eastAsia="DINCond-Bold" w:hAnsi="DINCond-Bold" w:cs="DINCond-Bold"/>
                <w:sz w:val="22"/>
                <w:szCs w:val="22"/>
              </w:rPr>
            </w:pPr>
          </w:p>
        </w:tc>
        <w:tc>
          <w:tcPr>
            <w:tcW w:w="4268" w:type="dxa"/>
          </w:tcPr>
          <w:p w14:paraId="693522D0" w14:textId="5487BE23" w:rsidR="001A5D0B" w:rsidRDefault="005445B7">
            <w:pPr>
              <w:rPr>
                <w:rFonts w:ascii="EB Garamond" w:eastAsia="EB Garamond" w:hAnsi="EB Garamond" w:cs="EB Garamond"/>
                <w:i/>
                <w:iCs/>
                <w:sz w:val="22"/>
                <w:szCs w:val="22"/>
              </w:rPr>
            </w:pPr>
            <w:r>
              <w:rPr>
                <w:rFonts w:ascii="EB Garamond" w:eastAsia="EB Garamond" w:hAnsi="EB Garamond" w:cs="EB Garamond"/>
                <w:i/>
                <w:iCs/>
                <w:sz w:val="22"/>
                <w:szCs w:val="22"/>
              </w:rPr>
              <w:t>How will we know if students are successful?</w:t>
            </w:r>
          </w:p>
          <w:p w14:paraId="76962B5D" w14:textId="7AADA1C5" w:rsidR="005445B7" w:rsidRDefault="00824D11" w:rsidP="005445B7">
            <w:pPr>
              <w:pStyle w:val="ListParagraph"/>
              <w:numPr>
                <w:ilvl w:val="0"/>
                <w:numId w:val="1"/>
              </w:numPr>
              <w:rPr>
                <w:rFonts w:ascii="EB Garamond" w:eastAsia="EB Garamond" w:hAnsi="EB Garamond" w:cs="EB Garamond"/>
                <w:i/>
                <w:iCs/>
                <w:sz w:val="22"/>
                <w:szCs w:val="22"/>
              </w:rPr>
            </w:pPr>
            <w:r>
              <w:rPr>
                <w:rFonts w:ascii="EB Garamond" w:eastAsia="EB Garamond" w:hAnsi="EB Garamond" w:cs="EB Garamond"/>
                <w:i/>
                <w:iCs/>
                <w:sz w:val="22"/>
                <w:szCs w:val="22"/>
              </w:rPr>
              <w:t>Students will have completed a food web and have the ability to trace the flow of energy from producer to consume</w:t>
            </w:r>
            <w:r w:rsidR="00DF3208">
              <w:rPr>
                <w:rFonts w:ascii="EB Garamond" w:eastAsia="EB Garamond" w:hAnsi="EB Garamond" w:cs="EB Garamond"/>
                <w:i/>
                <w:iCs/>
                <w:sz w:val="22"/>
                <w:szCs w:val="22"/>
              </w:rPr>
              <w:t>r.</w:t>
            </w:r>
          </w:p>
          <w:p w14:paraId="368561A6" w14:textId="282F19AC" w:rsidR="001A5D0B" w:rsidRPr="00CF40E3" w:rsidRDefault="00CF40E3" w:rsidP="00CF40E3">
            <w:pPr>
              <w:pStyle w:val="ListParagraph"/>
              <w:numPr>
                <w:ilvl w:val="0"/>
                <w:numId w:val="1"/>
              </w:numPr>
              <w:rPr>
                <w:rFonts w:ascii="EB Garamond" w:eastAsia="EB Garamond" w:hAnsi="EB Garamond" w:cs="EB Garamond"/>
                <w:i/>
                <w:iCs/>
                <w:sz w:val="22"/>
                <w:szCs w:val="22"/>
              </w:rPr>
            </w:pPr>
            <w:r w:rsidRPr="00CF40E3">
              <w:rPr>
                <w:rFonts w:ascii="EB Garamond" w:eastAsia="EB Garamond" w:hAnsi="EB Garamond" w:cs="EB Garamond"/>
                <w:i/>
                <w:iCs/>
                <w:sz w:val="22"/>
                <w:szCs w:val="22"/>
              </w:rPr>
              <w:t xml:space="preserve">Marine food webs rely on phytoplankton as their primary </w:t>
            </w:r>
            <w:proofErr w:type="gramStart"/>
            <w:r w:rsidRPr="00CF40E3">
              <w:rPr>
                <w:rFonts w:ascii="EB Garamond" w:eastAsia="EB Garamond" w:hAnsi="EB Garamond" w:cs="EB Garamond"/>
                <w:i/>
                <w:iCs/>
                <w:sz w:val="22"/>
                <w:szCs w:val="22"/>
              </w:rPr>
              <w:t>producers, and</w:t>
            </w:r>
            <w:proofErr w:type="gramEnd"/>
            <w:r w:rsidRPr="00CF40E3">
              <w:rPr>
                <w:rFonts w:ascii="EB Garamond" w:eastAsia="EB Garamond" w:hAnsi="EB Garamond" w:cs="EB Garamond"/>
                <w:i/>
                <w:iCs/>
                <w:sz w:val="22"/>
                <w:szCs w:val="22"/>
              </w:rPr>
              <w:t xml:space="preserve"> support more kinds of predatory animals than terrestrial ecosystems do. They are similar in that their energy all comes from the Sun.</w:t>
            </w:r>
          </w:p>
          <w:p w14:paraId="36000036" w14:textId="77777777" w:rsidR="001A5D0B" w:rsidRDefault="001A5D0B">
            <w:pPr>
              <w:rPr>
                <w:rFonts w:ascii="EB Garamond" w:eastAsia="EB Garamond" w:hAnsi="EB Garamond" w:cs="EB Garamond"/>
                <w:sz w:val="22"/>
                <w:szCs w:val="22"/>
              </w:rPr>
            </w:pPr>
          </w:p>
          <w:p w14:paraId="3914E877" w14:textId="77777777" w:rsidR="001A5D0B" w:rsidRDefault="001A5D0B">
            <w:pPr>
              <w:rPr>
                <w:rFonts w:ascii="EB Garamond" w:eastAsia="EB Garamond" w:hAnsi="EB Garamond" w:cs="EB Garamond"/>
                <w:sz w:val="22"/>
                <w:szCs w:val="22"/>
              </w:rPr>
            </w:pPr>
          </w:p>
          <w:p w14:paraId="7226F6B1" w14:textId="77777777" w:rsidR="001A5D0B" w:rsidRDefault="001A5D0B">
            <w:pPr>
              <w:rPr>
                <w:rFonts w:ascii="EB Garamond" w:eastAsia="EB Garamond" w:hAnsi="EB Garamond" w:cs="EB Garamond"/>
                <w:sz w:val="22"/>
                <w:szCs w:val="22"/>
              </w:rPr>
            </w:pPr>
          </w:p>
        </w:tc>
        <w:tc>
          <w:tcPr>
            <w:tcW w:w="5566" w:type="dxa"/>
          </w:tcPr>
          <w:p w14:paraId="21BB292F" w14:textId="77777777" w:rsidR="001A5D0B" w:rsidRDefault="005445B7">
            <w:pPr>
              <w:rPr>
                <w:rFonts w:ascii="Garamond" w:eastAsia="Garamond" w:hAnsi="Garamond" w:cs="Garamond"/>
                <w:i/>
                <w:iCs/>
              </w:rPr>
            </w:pPr>
            <w:r w:rsidRPr="005445B7">
              <w:rPr>
                <w:rFonts w:ascii="Garamond" w:eastAsia="Garamond" w:hAnsi="Garamond" w:cs="Garamond"/>
                <w:i/>
                <w:iCs/>
              </w:rPr>
              <w:t>What does the teacher need to know to teach this lesson</w:t>
            </w:r>
            <w:r>
              <w:rPr>
                <w:rFonts w:ascii="Garamond" w:eastAsia="Garamond" w:hAnsi="Garamond" w:cs="Garamond"/>
                <w:i/>
                <w:iCs/>
              </w:rPr>
              <w:t xml:space="preserve">? </w:t>
            </w:r>
          </w:p>
          <w:p w14:paraId="402CAD7C" w14:textId="67C72BD4" w:rsidR="00820DB1" w:rsidRPr="00E6158F" w:rsidRDefault="00820DB1" w:rsidP="00820DB1">
            <w:pPr>
              <w:pStyle w:val="ListParagraph"/>
              <w:numPr>
                <w:ilvl w:val="0"/>
                <w:numId w:val="2"/>
              </w:numPr>
              <w:rPr>
                <w:rFonts w:ascii="EB Garamond" w:eastAsia="Garamond" w:hAnsi="EB Garamond" w:cs="Garamond"/>
                <w:i/>
                <w:iCs/>
                <w:sz w:val="22"/>
                <w:szCs w:val="22"/>
              </w:rPr>
            </w:pPr>
            <w:r w:rsidRPr="00E6158F">
              <w:rPr>
                <w:rFonts w:ascii="EB Garamond" w:eastAsia="Garamond" w:hAnsi="EB Garamond" w:cs="Garamond"/>
                <w:i/>
                <w:iCs/>
                <w:sz w:val="22"/>
                <w:szCs w:val="22"/>
              </w:rPr>
              <w:t>Food web lessons that have been discussed in classes prior to this can be applied to ancient ecosystems as well as modern ones.</w:t>
            </w:r>
          </w:p>
          <w:p w14:paraId="781986AE" w14:textId="7D72EA03" w:rsidR="00E6158F" w:rsidRPr="00E6158F" w:rsidRDefault="00EB7683" w:rsidP="00E6158F">
            <w:pPr>
              <w:pStyle w:val="ListParagraph"/>
              <w:numPr>
                <w:ilvl w:val="0"/>
                <w:numId w:val="2"/>
              </w:numPr>
              <w:rPr>
                <w:rFonts w:ascii="Garamond" w:eastAsia="Garamond" w:hAnsi="Garamond" w:cs="Garamond"/>
                <w:i/>
                <w:iCs/>
              </w:rPr>
            </w:pPr>
            <w:r w:rsidRPr="00E6158F">
              <w:rPr>
                <w:rFonts w:ascii="EB Garamond" w:eastAsia="Garamond" w:hAnsi="EB Garamond" w:cs="Garamond"/>
                <w:i/>
                <w:iCs/>
                <w:sz w:val="22"/>
                <w:szCs w:val="22"/>
              </w:rPr>
              <w:t xml:space="preserve">For around </w:t>
            </w:r>
            <w:r w:rsidR="006E68AF">
              <w:rPr>
                <w:rFonts w:ascii="EB Garamond" w:eastAsia="Garamond" w:hAnsi="EB Garamond" w:cs="Garamond"/>
                <w:i/>
                <w:iCs/>
                <w:sz w:val="22"/>
                <w:szCs w:val="22"/>
              </w:rPr>
              <w:t>5</w:t>
            </w:r>
            <w:r w:rsidRPr="00E6158F">
              <w:rPr>
                <w:rFonts w:ascii="EB Garamond" w:eastAsia="Garamond" w:hAnsi="EB Garamond" w:cs="Garamond"/>
                <w:i/>
                <w:iCs/>
                <w:sz w:val="22"/>
                <w:szCs w:val="22"/>
              </w:rPr>
              <w:t>0 million year</w:t>
            </w:r>
            <w:r w:rsidR="006E68AF">
              <w:rPr>
                <w:rFonts w:ascii="EB Garamond" w:eastAsia="Garamond" w:hAnsi="EB Garamond" w:cs="Garamond"/>
                <w:i/>
                <w:iCs/>
                <w:sz w:val="22"/>
                <w:szCs w:val="22"/>
              </w:rPr>
              <w:t>s (113-66 million years ago) in the Cretaceous period</w:t>
            </w:r>
            <w:r w:rsidRPr="00E6158F">
              <w:rPr>
                <w:rFonts w:ascii="EB Garamond" w:eastAsia="Garamond" w:hAnsi="EB Garamond" w:cs="Garamond"/>
                <w:i/>
                <w:iCs/>
                <w:sz w:val="22"/>
                <w:szCs w:val="22"/>
              </w:rPr>
              <w:t>, the center of North America was covered by a shallow, warm-water ocean that was home to the large marine reptiles of the Mesozoic.</w:t>
            </w:r>
          </w:p>
          <w:p w14:paraId="5BD2DFDB" w14:textId="74CD1CE4" w:rsidR="00E6158F" w:rsidRPr="00E6158F" w:rsidRDefault="00E6158F" w:rsidP="00E6158F">
            <w:pPr>
              <w:pStyle w:val="ListParagraph"/>
              <w:numPr>
                <w:ilvl w:val="0"/>
                <w:numId w:val="2"/>
              </w:numPr>
              <w:rPr>
                <w:rFonts w:ascii="Garamond" w:eastAsia="Garamond" w:hAnsi="Garamond" w:cs="Garamond"/>
                <w:i/>
                <w:iCs/>
              </w:rPr>
            </w:pPr>
            <w:r>
              <w:rPr>
                <w:rFonts w:ascii="EB Garamond" w:eastAsia="Garamond" w:hAnsi="EB Garamond" w:cs="Garamond"/>
                <w:i/>
                <w:iCs/>
                <w:sz w:val="22"/>
                <w:szCs w:val="22"/>
              </w:rPr>
              <w:t>At first students will assume that land-based producers are the same as marine producers. This isn’t correct, so expect to be correcting this (there are slides in the associated PowerPoint for this).</w:t>
            </w:r>
          </w:p>
        </w:tc>
      </w:tr>
    </w:tbl>
    <w:p w14:paraId="589722E4" w14:textId="77777777" w:rsidR="001A5D0B" w:rsidRDefault="001A5D0B"/>
    <w:tbl>
      <w:tblPr>
        <w:tblStyle w:val="a0"/>
        <w:tblW w:w="10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8017"/>
        <w:gridCol w:w="1845"/>
      </w:tblGrid>
      <w:tr w:rsidR="001A5D0B" w14:paraId="0397F924" w14:textId="77777777" w:rsidTr="005445B7">
        <w:trPr>
          <w:trHeight w:val="220"/>
          <w:jc w:val="center"/>
        </w:trPr>
        <w:tc>
          <w:tcPr>
            <w:tcW w:w="742" w:type="dxa"/>
            <w:vMerge w:val="restart"/>
            <w:textDirection w:val="btLr"/>
          </w:tcPr>
          <w:p w14:paraId="392274FF" w14:textId="77777777" w:rsidR="001A5D0B" w:rsidRDefault="0011164B" w:rsidP="005445B7">
            <w:pPr>
              <w:pBdr>
                <w:top w:val="nil"/>
                <w:left w:val="nil"/>
                <w:bottom w:val="nil"/>
                <w:right w:val="nil"/>
                <w:between w:val="nil"/>
              </w:pBdr>
              <w:tabs>
                <w:tab w:val="left" w:pos="2880"/>
              </w:tabs>
              <w:ind w:left="226" w:right="113" w:hanging="113"/>
              <w:jc w:val="center"/>
              <w:rPr>
                <w:rFonts w:ascii="Arial" w:eastAsia="Arial" w:hAnsi="Arial" w:cs="Arial"/>
                <w:color w:val="000000"/>
                <w:sz w:val="20"/>
                <w:szCs w:val="20"/>
              </w:rPr>
            </w:pPr>
            <w:r>
              <w:rPr>
                <w:rFonts w:ascii="Arial" w:eastAsia="Arial" w:hAnsi="Arial" w:cs="Arial"/>
                <w:color w:val="000000"/>
                <w:sz w:val="22"/>
                <w:szCs w:val="22"/>
              </w:rPr>
              <w:t>Lesson Cycle</w:t>
            </w:r>
          </w:p>
          <w:p w14:paraId="79EF3140" w14:textId="77777777" w:rsidR="001A5D0B" w:rsidRDefault="001A5D0B">
            <w:pPr>
              <w:ind w:left="113" w:right="113"/>
              <w:jc w:val="center"/>
              <w:rPr>
                <w:rFonts w:ascii="DINCond-Bold" w:eastAsia="DINCond-Bold" w:hAnsi="DINCond-Bold" w:cs="DINCond-Bold"/>
                <w:sz w:val="20"/>
                <w:szCs w:val="20"/>
              </w:rPr>
            </w:pPr>
          </w:p>
        </w:tc>
        <w:tc>
          <w:tcPr>
            <w:tcW w:w="8017" w:type="dxa"/>
            <w:shd w:val="clear" w:color="auto" w:fill="E6E6E6"/>
          </w:tcPr>
          <w:p w14:paraId="6841638D" w14:textId="77777777" w:rsidR="001A5D0B" w:rsidRDefault="0011164B">
            <w:pPr>
              <w:tabs>
                <w:tab w:val="left" w:pos="2880"/>
              </w:tabs>
              <w:rPr>
                <w:rFonts w:ascii="EB Garamond" w:eastAsia="EB Garamond" w:hAnsi="EB Garamond" w:cs="EB Garamond"/>
                <w:sz w:val="20"/>
                <w:szCs w:val="20"/>
              </w:rPr>
            </w:pPr>
            <w:r>
              <w:rPr>
                <w:rFonts w:ascii="Arial" w:eastAsia="Arial" w:hAnsi="Arial" w:cs="Arial"/>
                <w:sz w:val="20"/>
                <w:szCs w:val="20"/>
              </w:rPr>
              <w:t>OPENING/DO NOW.</w:t>
            </w:r>
            <w:r>
              <w:rPr>
                <w:rFonts w:ascii="EB Garamond" w:eastAsia="EB Garamond" w:hAnsi="EB Garamond" w:cs="EB Garamond"/>
                <w:sz w:val="20"/>
                <w:szCs w:val="20"/>
              </w:rPr>
              <w:tab/>
            </w:r>
          </w:p>
        </w:tc>
        <w:tc>
          <w:tcPr>
            <w:tcW w:w="1845" w:type="dxa"/>
            <w:shd w:val="clear" w:color="auto" w:fill="E6E6E6"/>
          </w:tcPr>
          <w:p w14:paraId="2F950971" w14:textId="77777777" w:rsidR="001A5D0B" w:rsidRDefault="0011164B">
            <w:pPr>
              <w:tabs>
                <w:tab w:val="left" w:pos="2880"/>
              </w:tabs>
              <w:rPr>
                <w:rFonts w:ascii="EB Garamond" w:eastAsia="EB Garamond" w:hAnsi="EB Garamond" w:cs="EB Garamond"/>
                <w:sz w:val="20"/>
                <w:szCs w:val="20"/>
              </w:rPr>
            </w:pPr>
            <w:r>
              <w:rPr>
                <w:rFonts w:ascii="DINCond-Bold" w:eastAsia="DINCond-Bold" w:hAnsi="DINCond-Bold" w:cs="DINCond-Bold"/>
                <w:sz w:val="20"/>
                <w:szCs w:val="20"/>
              </w:rPr>
              <w:t xml:space="preserve">MATERIALS. </w:t>
            </w:r>
          </w:p>
        </w:tc>
      </w:tr>
      <w:tr w:rsidR="001A5D0B" w14:paraId="4AF5B8BA" w14:textId="77777777">
        <w:trPr>
          <w:trHeight w:val="140"/>
          <w:jc w:val="center"/>
        </w:trPr>
        <w:tc>
          <w:tcPr>
            <w:tcW w:w="742" w:type="dxa"/>
            <w:vMerge/>
          </w:tcPr>
          <w:p w14:paraId="783D7952"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0"/>
                <w:szCs w:val="20"/>
              </w:rPr>
            </w:pPr>
          </w:p>
        </w:tc>
        <w:tc>
          <w:tcPr>
            <w:tcW w:w="8017" w:type="dxa"/>
          </w:tcPr>
          <w:p w14:paraId="6964352C" w14:textId="7BFF52B1" w:rsidR="001A5D0B" w:rsidRDefault="005445B7">
            <w:pPr>
              <w:rPr>
                <w:rFonts w:ascii="EB Garamond" w:eastAsia="EB Garamond" w:hAnsi="EB Garamond" w:cs="EB Garamond"/>
                <w:sz w:val="20"/>
                <w:szCs w:val="20"/>
              </w:rPr>
            </w:pPr>
            <w:r>
              <w:rPr>
                <w:rFonts w:ascii="EB Garamond" w:eastAsia="EB Garamond" w:hAnsi="EB Garamond" w:cs="EB Garamond"/>
                <w:sz w:val="20"/>
                <w:szCs w:val="20"/>
              </w:rPr>
              <w:t xml:space="preserve">Students will independently draw an example of a food web they are familiar with and label one consumer and two producers. Producers are organisms that provide energy to the ecosystem such as plants. Consumers are organisms that consumer energy, animals are consumers. Food webs show the flow of energy throughout an ecosystem, as opposed to a food chain which shows a linear flow. </w:t>
            </w:r>
          </w:p>
          <w:p w14:paraId="4458D8E3" w14:textId="7223EC4A" w:rsidR="001A5D0B" w:rsidRDefault="0011164B">
            <w:pPr>
              <w:rPr>
                <w:rFonts w:ascii="EB Garamond" w:eastAsia="EB Garamond" w:hAnsi="EB Garamond" w:cs="EB Garamond"/>
                <w:sz w:val="20"/>
                <w:szCs w:val="20"/>
              </w:rPr>
            </w:pPr>
            <w:r>
              <w:rPr>
                <w:noProof/>
              </w:rPr>
              <w:drawing>
                <wp:inline distT="0" distB="0" distL="0" distR="0" wp14:anchorId="1997FDDF" wp14:editId="408E6B8E">
                  <wp:extent cx="1264920" cy="126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4920" cy="1264920"/>
                          </a:xfrm>
                          <a:prstGeom prst="rect">
                            <a:avLst/>
                          </a:prstGeom>
                        </pic:spPr>
                      </pic:pic>
                    </a:graphicData>
                  </a:graphic>
                </wp:inline>
              </w:drawing>
            </w:r>
          </w:p>
          <w:p w14:paraId="672CB81C" w14:textId="399FF34C" w:rsidR="00DF3208" w:rsidRDefault="00DF3208">
            <w:pPr>
              <w:rPr>
                <w:rFonts w:ascii="EB Garamond" w:eastAsia="EB Garamond" w:hAnsi="EB Garamond" w:cs="EB Garamond"/>
                <w:sz w:val="20"/>
                <w:szCs w:val="20"/>
              </w:rPr>
            </w:pPr>
          </w:p>
          <w:p w14:paraId="48457E61" w14:textId="2D0E2BED" w:rsidR="00DF3208" w:rsidRDefault="00DF3208">
            <w:pPr>
              <w:rPr>
                <w:rFonts w:ascii="EB Garamond" w:eastAsia="EB Garamond" w:hAnsi="EB Garamond" w:cs="EB Garamond"/>
                <w:sz w:val="20"/>
                <w:szCs w:val="20"/>
              </w:rPr>
            </w:pPr>
          </w:p>
          <w:p w14:paraId="13B7F107" w14:textId="12A6496D" w:rsidR="00DF3208" w:rsidRDefault="00DF3208">
            <w:pPr>
              <w:rPr>
                <w:rFonts w:ascii="EB Garamond" w:eastAsia="EB Garamond" w:hAnsi="EB Garamond" w:cs="EB Garamond"/>
                <w:sz w:val="20"/>
                <w:szCs w:val="20"/>
              </w:rPr>
            </w:pPr>
          </w:p>
          <w:p w14:paraId="105B90B3" w14:textId="23CADC0D" w:rsidR="00DF3208" w:rsidRDefault="00DF3208">
            <w:pPr>
              <w:rPr>
                <w:rFonts w:ascii="EB Garamond" w:eastAsia="EB Garamond" w:hAnsi="EB Garamond" w:cs="EB Garamond"/>
                <w:sz w:val="20"/>
                <w:szCs w:val="20"/>
              </w:rPr>
            </w:pPr>
          </w:p>
          <w:p w14:paraId="38689AF7" w14:textId="200DD112" w:rsidR="00DF3208" w:rsidRDefault="00DF3208">
            <w:pPr>
              <w:rPr>
                <w:rFonts w:ascii="EB Garamond" w:eastAsia="EB Garamond" w:hAnsi="EB Garamond" w:cs="EB Garamond"/>
                <w:sz w:val="20"/>
                <w:szCs w:val="20"/>
              </w:rPr>
            </w:pPr>
          </w:p>
          <w:p w14:paraId="4D1A6320" w14:textId="77777777" w:rsidR="00DF3208" w:rsidRDefault="00DF3208">
            <w:pPr>
              <w:rPr>
                <w:rFonts w:ascii="EB Garamond" w:eastAsia="EB Garamond" w:hAnsi="EB Garamond" w:cs="EB Garamond"/>
                <w:sz w:val="20"/>
                <w:szCs w:val="20"/>
              </w:rPr>
            </w:pPr>
          </w:p>
          <w:p w14:paraId="1F8558A1" w14:textId="77777777" w:rsidR="001A5D0B" w:rsidRDefault="001A5D0B">
            <w:pPr>
              <w:rPr>
                <w:rFonts w:ascii="EB Garamond" w:eastAsia="EB Garamond" w:hAnsi="EB Garamond" w:cs="EB Garamond"/>
                <w:sz w:val="20"/>
                <w:szCs w:val="20"/>
              </w:rPr>
            </w:pPr>
          </w:p>
        </w:tc>
        <w:tc>
          <w:tcPr>
            <w:tcW w:w="1845" w:type="dxa"/>
            <w:vMerge w:val="restart"/>
          </w:tcPr>
          <w:p w14:paraId="6371A134" w14:textId="1AD14C9A" w:rsidR="001A5D0B" w:rsidRDefault="005445B7">
            <w:pPr>
              <w:rPr>
                <w:rFonts w:ascii="EB Garamond" w:eastAsia="EB Garamond" w:hAnsi="EB Garamond" w:cs="EB Garamond"/>
                <w:sz w:val="22"/>
                <w:szCs w:val="22"/>
              </w:rPr>
            </w:pPr>
            <w:r>
              <w:rPr>
                <w:rFonts w:ascii="EB Garamond" w:eastAsia="EB Garamond" w:hAnsi="EB Garamond" w:cs="EB Garamond"/>
                <w:sz w:val="22"/>
                <w:szCs w:val="22"/>
              </w:rPr>
              <w:lastRenderedPageBreak/>
              <w:t>Worksheet</w:t>
            </w:r>
          </w:p>
          <w:p w14:paraId="2223455A" w14:textId="33557361" w:rsidR="005445B7" w:rsidRDefault="005445B7">
            <w:pPr>
              <w:rPr>
                <w:rFonts w:ascii="EB Garamond" w:eastAsia="EB Garamond" w:hAnsi="EB Garamond" w:cs="EB Garamond"/>
                <w:sz w:val="22"/>
                <w:szCs w:val="22"/>
              </w:rPr>
            </w:pPr>
            <w:r>
              <w:rPr>
                <w:rFonts w:ascii="EB Garamond" w:eastAsia="EB Garamond" w:hAnsi="EB Garamond" w:cs="EB Garamond"/>
                <w:sz w:val="22"/>
                <w:szCs w:val="22"/>
              </w:rPr>
              <w:t>Power Point</w:t>
            </w:r>
          </w:p>
          <w:p w14:paraId="6FD0324F" w14:textId="6F325CE8" w:rsidR="005445B7" w:rsidRDefault="005445B7">
            <w:pPr>
              <w:rPr>
                <w:rFonts w:ascii="EB Garamond" w:eastAsia="EB Garamond" w:hAnsi="EB Garamond" w:cs="EB Garamond"/>
                <w:sz w:val="22"/>
                <w:szCs w:val="22"/>
              </w:rPr>
            </w:pPr>
            <w:r>
              <w:rPr>
                <w:rFonts w:ascii="EB Garamond" w:eastAsia="EB Garamond" w:hAnsi="EB Garamond" w:cs="EB Garamond"/>
                <w:sz w:val="22"/>
                <w:szCs w:val="22"/>
              </w:rPr>
              <w:t>Pointer</w:t>
            </w:r>
          </w:p>
          <w:p w14:paraId="59A5DBFF" w14:textId="12A8C668" w:rsidR="005445B7" w:rsidRDefault="005445B7">
            <w:pPr>
              <w:rPr>
                <w:rFonts w:ascii="EB Garamond" w:eastAsia="EB Garamond" w:hAnsi="EB Garamond" w:cs="EB Garamond"/>
                <w:sz w:val="22"/>
                <w:szCs w:val="22"/>
              </w:rPr>
            </w:pPr>
          </w:p>
        </w:tc>
      </w:tr>
      <w:tr w:rsidR="001A5D0B" w14:paraId="7C011AA6" w14:textId="77777777">
        <w:trPr>
          <w:trHeight w:val="140"/>
          <w:jc w:val="center"/>
        </w:trPr>
        <w:tc>
          <w:tcPr>
            <w:tcW w:w="742" w:type="dxa"/>
            <w:vMerge/>
          </w:tcPr>
          <w:p w14:paraId="4FBC9169"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2"/>
                <w:szCs w:val="22"/>
              </w:rPr>
            </w:pPr>
          </w:p>
        </w:tc>
        <w:tc>
          <w:tcPr>
            <w:tcW w:w="8017" w:type="dxa"/>
            <w:shd w:val="clear" w:color="auto" w:fill="E6E6E6"/>
          </w:tcPr>
          <w:p w14:paraId="10233AD2" w14:textId="77777777" w:rsidR="001A5D0B" w:rsidRDefault="0011164B">
            <w:pPr>
              <w:rPr>
                <w:rFonts w:ascii="EB Garamond" w:eastAsia="EB Garamond" w:hAnsi="EB Garamond" w:cs="EB Garamond"/>
                <w:sz w:val="20"/>
                <w:szCs w:val="20"/>
              </w:rPr>
            </w:pPr>
            <w:r>
              <w:rPr>
                <w:rFonts w:ascii="Arial" w:eastAsia="Arial" w:hAnsi="Arial" w:cs="Arial"/>
                <w:sz w:val="20"/>
                <w:szCs w:val="20"/>
              </w:rPr>
              <w:t>INTRODUCTION OF NEW MATERIAL.</w:t>
            </w:r>
            <w:r>
              <w:rPr>
                <w:rFonts w:ascii="DINCond-Bold" w:eastAsia="DINCond-Bold" w:hAnsi="DINCond-Bold" w:cs="DINCond-Bold"/>
                <w:sz w:val="20"/>
                <w:szCs w:val="20"/>
              </w:rPr>
              <w:t xml:space="preserve"> </w:t>
            </w:r>
          </w:p>
        </w:tc>
        <w:tc>
          <w:tcPr>
            <w:tcW w:w="1845" w:type="dxa"/>
            <w:vMerge/>
          </w:tcPr>
          <w:p w14:paraId="32943D51"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0"/>
                <w:szCs w:val="20"/>
              </w:rPr>
            </w:pPr>
          </w:p>
        </w:tc>
      </w:tr>
      <w:tr w:rsidR="001A5D0B" w14:paraId="496B8450" w14:textId="77777777">
        <w:trPr>
          <w:trHeight w:val="140"/>
          <w:jc w:val="center"/>
        </w:trPr>
        <w:tc>
          <w:tcPr>
            <w:tcW w:w="742" w:type="dxa"/>
            <w:vMerge/>
          </w:tcPr>
          <w:p w14:paraId="5168446B"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0"/>
                <w:szCs w:val="20"/>
              </w:rPr>
            </w:pPr>
          </w:p>
        </w:tc>
        <w:tc>
          <w:tcPr>
            <w:tcW w:w="8017" w:type="dxa"/>
          </w:tcPr>
          <w:p w14:paraId="2815AF4A" w14:textId="77777777" w:rsidR="001A5D0B" w:rsidRDefault="001A5D0B">
            <w:pPr>
              <w:rPr>
                <w:rFonts w:ascii="Garamond" w:eastAsia="Garamond" w:hAnsi="Garamond" w:cs="Garamond"/>
                <w:sz w:val="22"/>
                <w:szCs w:val="22"/>
              </w:rPr>
            </w:pPr>
          </w:p>
          <w:p w14:paraId="0C726836" w14:textId="132AE9BD" w:rsidR="00DF3208" w:rsidRPr="00900C01" w:rsidRDefault="00DF3208" w:rsidP="00DF3208">
            <w:pPr>
              <w:rPr>
                <w:rFonts w:ascii="EB Garamond" w:eastAsia="Garamond" w:hAnsi="EB Garamond" w:cs="Garamond"/>
                <w:sz w:val="20"/>
                <w:szCs w:val="20"/>
              </w:rPr>
            </w:pPr>
            <w:r>
              <w:rPr>
                <w:rFonts w:ascii="EB Garamond" w:eastAsia="Garamond" w:hAnsi="EB Garamond" w:cs="Garamond"/>
                <w:sz w:val="20"/>
                <w:szCs w:val="20"/>
              </w:rPr>
              <w:t>Students will be split up across the room. If they believe that the main producers in marine systems are plants, they will go to one side of the room, if they believe the producers are phytoplankton they go to the other. They should be prepared to justify their response.</w:t>
            </w:r>
          </w:p>
          <w:p w14:paraId="0589725B" w14:textId="0EE1EDF4" w:rsidR="00794FD7" w:rsidRDefault="00794FD7">
            <w:pPr>
              <w:rPr>
                <w:rFonts w:ascii="EB Garamond" w:eastAsia="Garamond" w:hAnsi="EB Garamond" w:cs="Garamond"/>
                <w:sz w:val="20"/>
                <w:szCs w:val="20"/>
              </w:rPr>
            </w:pPr>
            <w:r>
              <w:rPr>
                <w:rFonts w:ascii="EB Garamond" w:eastAsia="Garamond" w:hAnsi="EB Garamond" w:cs="Garamond"/>
                <w:sz w:val="20"/>
                <w:szCs w:val="20"/>
              </w:rPr>
              <w:t xml:space="preserve">After this exercise they will be shown that the correct answer isn’t a plant like it is on land. They will be shown that ocean ecosystems are largely based on </w:t>
            </w:r>
            <w:r w:rsidR="00DF3208">
              <w:rPr>
                <w:rFonts w:ascii="EB Garamond" w:eastAsia="Garamond" w:hAnsi="EB Garamond" w:cs="Garamond"/>
                <w:sz w:val="20"/>
                <w:szCs w:val="20"/>
              </w:rPr>
              <w:t>phytoplankton.</w:t>
            </w:r>
          </w:p>
          <w:p w14:paraId="387916A0" w14:textId="259A4B35" w:rsidR="00794FD7" w:rsidRDefault="00794FD7">
            <w:pPr>
              <w:rPr>
                <w:rFonts w:ascii="EB Garamond" w:eastAsia="Garamond" w:hAnsi="EB Garamond" w:cs="Garamond"/>
                <w:sz w:val="20"/>
                <w:szCs w:val="20"/>
              </w:rPr>
            </w:pPr>
          </w:p>
          <w:p w14:paraId="143D8D87" w14:textId="1A6FD81A" w:rsidR="00794FD7" w:rsidRPr="00794FD7" w:rsidRDefault="00794FD7">
            <w:pPr>
              <w:rPr>
                <w:rFonts w:ascii="EB Garamond" w:eastAsia="Garamond" w:hAnsi="EB Garamond" w:cs="Garamond"/>
                <w:sz w:val="20"/>
                <w:szCs w:val="20"/>
              </w:rPr>
            </w:pPr>
            <w:r>
              <w:rPr>
                <w:rFonts w:ascii="EB Garamond" w:eastAsia="Garamond" w:hAnsi="EB Garamond" w:cs="Garamond"/>
                <w:sz w:val="20"/>
                <w:szCs w:val="20"/>
              </w:rPr>
              <w:t xml:space="preserve">The associated PowerPoint will go through some of the important animals in the Western Interior </w:t>
            </w:r>
            <w:proofErr w:type="gramStart"/>
            <w:r>
              <w:rPr>
                <w:rFonts w:ascii="EB Garamond" w:eastAsia="Garamond" w:hAnsi="EB Garamond" w:cs="Garamond"/>
                <w:sz w:val="20"/>
                <w:szCs w:val="20"/>
              </w:rPr>
              <w:t>Seaway, and</w:t>
            </w:r>
            <w:proofErr w:type="gramEnd"/>
            <w:r>
              <w:rPr>
                <w:rFonts w:ascii="EB Garamond" w:eastAsia="Garamond" w:hAnsi="EB Garamond" w:cs="Garamond"/>
                <w:sz w:val="20"/>
                <w:szCs w:val="20"/>
              </w:rPr>
              <w:t xml:space="preserve"> show students what each of them eat and how they live.</w:t>
            </w:r>
          </w:p>
          <w:p w14:paraId="090DEBEA" w14:textId="77777777" w:rsidR="001A5D0B" w:rsidRDefault="001A5D0B">
            <w:pPr>
              <w:rPr>
                <w:rFonts w:ascii="Garamond" w:eastAsia="Garamond" w:hAnsi="Garamond" w:cs="Garamond"/>
                <w:sz w:val="22"/>
                <w:szCs w:val="22"/>
              </w:rPr>
            </w:pPr>
          </w:p>
        </w:tc>
        <w:tc>
          <w:tcPr>
            <w:tcW w:w="1845" w:type="dxa"/>
            <w:vMerge/>
          </w:tcPr>
          <w:p w14:paraId="76201FA9"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r>
      <w:tr w:rsidR="001A5D0B" w14:paraId="0460DAC8" w14:textId="77777777">
        <w:trPr>
          <w:trHeight w:val="140"/>
          <w:jc w:val="center"/>
        </w:trPr>
        <w:tc>
          <w:tcPr>
            <w:tcW w:w="742" w:type="dxa"/>
            <w:vMerge/>
          </w:tcPr>
          <w:p w14:paraId="3CBFDCE3"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c>
          <w:tcPr>
            <w:tcW w:w="8017" w:type="dxa"/>
            <w:shd w:val="clear" w:color="auto" w:fill="E6E6E6"/>
          </w:tcPr>
          <w:p w14:paraId="2789B28E" w14:textId="77777777" w:rsidR="001A5D0B" w:rsidRDefault="0011164B">
            <w:pPr>
              <w:rPr>
                <w:rFonts w:ascii="DINCond-Bold" w:eastAsia="DINCond-Bold" w:hAnsi="DINCond-Bold" w:cs="DINCond-Bold"/>
                <w:sz w:val="20"/>
                <w:szCs w:val="20"/>
              </w:rPr>
            </w:pPr>
            <w:r>
              <w:rPr>
                <w:rFonts w:ascii="Arial" w:eastAsia="Arial" w:hAnsi="Arial" w:cs="Arial"/>
                <w:sz w:val="20"/>
                <w:szCs w:val="20"/>
              </w:rPr>
              <w:t>GUIDED PRACTICE</w:t>
            </w:r>
            <w:r>
              <w:rPr>
                <w:rFonts w:ascii="DINCond-Bold" w:eastAsia="DINCond-Bold" w:hAnsi="DINCond-Bold" w:cs="DINCond-Bold"/>
                <w:sz w:val="20"/>
                <w:szCs w:val="20"/>
              </w:rPr>
              <w:t xml:space="preserve">. </w:t>
            </w:r>
          </w:p>
        </w:tc>
        <w:tc>
          <w:tcPr>
            <w:tcW w:w="1845" w:type="dxa"/>
            <w:vMerge/>
          </w:tcPr>
          <w:p w14:paraId="6893AD00" w14:textId="77777777" w:rsidR="001A5D0B" w:rsidRDefault="001A5D0B">
            <w:pPr>
              <w:widowControl w:val="0"/>
              <w:pBdr>
                <w:top w:val="nil"/>
                <w:left w:val="nil"/>
                <w:bottom w:val="nil"/>
                <w:right w:val="nil"/>
                <w:between w:val="nil"/>
              </w:pBdr>
              <w:spacing w:line="276" w:lineRule="auto"/>
              <w:rPr>
                <w:rFonts w:ascii="DINCond-Bold" w:eastAsia="DINCond-Bold" w:hAnsi="DINCond-Bold" w:cs="DINCond-Bold"/>
                <w:sz w:val="20"/>
                <w:szCs w:val="20"/>
              </w:rPr>
            </w:pPr>
          </w:p>
        </w:tc>
      </w:tr>
      <w:tr w:rsidR="001A5D0B" w14:paraId="2A7A4192" w14:textId="77777777">
        <w:trPr>
          <w:trHeight w:val="140"/>
          <w:jc w:val="center"/>
        </w:trPr>
        <w:tc>
          <w:tcPr>
            <w:tcW w:w="742" w:type="dxa"/>
            <w:vMerge/>
          </w:tcPr>
          <w:p w14:paraId="12B5CEDA" w14:textId="77777777" w:rsidR="001A5D0B" w:rsidRDefault="001A5D0B">
            <w:pPr>
              <w:widowControl w:val="0"/>
              <w:pBdr>
                <w:top w:val="nil"/>
                <w:left w:val="nil"/>
                <w:bottom w:val="nil"/>
                <w:right w:val="nil"/>
                <w:between w:val="nil"/>
              </w:pBdr>
              <w:spacing w:line="276" w:lineRule="auto"/>
              <w:rPr>
                <w:rFonts w:ascii="DINCond-Bold" w:eastAsia="DINCond-Bold" w:hAnsi="DINCond-Bold" w:cs="DINCond-Bold"/>
                <w:sz w:val="20"/>
                <w:szCs w:val="20"/>
              </w:rPr>
            </w:pPr>
          </w:p>
        </w:tc>
        <w:tc>
          <w:tcPr>
            <w:tcW w:w="8017" w:type="dxa"/>
          </w:tcPr>
          <w:p w14:paraId="63CD2A67" w14:textId="6C4A829D" w:rsidR="001A5D0B" w:rsidRDefault="00794FD7">
            <w:pPr>
              <w:rPr>
                <w:rFonts w:ascii="EB Garamond" w:eastAsia="Garamond" w:hAnsi="EB Garamond" w:cs="Garamond"/>
                <w:sz w:val="20"/>
                <w:szCs w:val="20"/>
              </w:rPr>
            </w:pPr>
            <w:r>
              <w:rPr>
                <w:rFonts w:ascii="EB Garamond" w:eastAsia="Garamond" w:hAnsi="EB Garamond" w:cs="Garamond"/>
                <w:sz w:val="20"/>
                <w:szCs w:val="20"/>
              </w:rPr>
              <w:t>Based on this knowledge students will fill in the food web in the worksheet</w:t>
            </w:r>
            <w:r w:rsidR="00541612">
              <w:rPr>
                <w:rFonts w:ascii="EB Garamond" w:eastAsia="Garamond" w:hAnsi="EB Garamond" w:cs="Garamond"/>
                <w:sz w:val="20"/>
                <w:szCs w:val="20"/>
              </w:rPr>
              <w:t xml:space="preserve"> by drawing arrows from food to consumer.</w:t>
            </w:r>
          </w:p>
          <w:p w14:paraId="0181B148" w14:textId="677ACE87" w:rsidR="006B1221" w:rsidRDefault="006B1221">
            <w:pPr>
              <w:rPr>
                <w:rFonts w:ascii="EB Garamond" w:eastAsia="Garamond" w:hAnsi="EB Garamond" w:cs="Garamond"/>
                <w:sz w:val="20"/>
                <w:szCs w:val="20"/>
              </w:rPr>
            </w:pPr>
          </w:p>
          <w:p w14:paraId="567B38E6" w14:textId="77777777" w:rsidR="001A5D0B" w:rsidRDefault="001A5D0B" w:rsidP="00DF3208">
            <w:pPr>
              <w:rPr>
                <w:rFonts w:ascii="Garamond" w:eastAsia="Garamond" w:hAnsi="Garamond" w:cs="Garamond"/>
                <w:sz w:val="22"/>
                <w:szCs w:val="22"/>
              </w:rPr>
            </w:pPr>
          </w:p>
        </w:tc>
        <w:tc>
          <w:tcPr>
            <w:tcW w:w="1845" w:type="dxa"/>
            <w:vMerge/>
          </w:tcPr>
          <w:p w14:paraId="5042B72E"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r>
      <w:tr w:rsidR="001A5D0B" w14:paraId="709F0A4A" w14:textId="77777777">
        <w:trPr>
          <w:trHeight w:val="140"/>
          <w:jc w:val="center"/>
        </w:trPr>
        <w:tc>
          <w:tcPr>
            <w:tcW w:w="742" w:type="dxa"/>
            <w:vMerge/>
          </w:tcPr>
          <w:p w14:paraId="2F323A0F"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c>
          <w:tcPr>
            <w:tcW w:w="8017" w:type="dxa"/>
            <w:shd w:val="clear" w:color="auto" w:fill="E6E6E6"/>
          </w:tcPr>
          <w:p w14:paraId="34EA17E2" w14:textId="77777777" w:rsidR="001A5D0B" w:rsidRDefault="0011164B">
            <w:pPr>
              <w:tabs>
                <w:tab w:val="left" w:pos="5520"/>
              </w:tabs>
              <w:rPr>
                <w:rFonts w:ascii="DINCond-Bold" w:eastAsia="DINCond-Bold" w:hAnsi="DINCond-Bold" w:cs="DINCond-Bold"/>
                <w:sz w:val="20"/>
                <w:szCs w:val="20"/>
              </w:rPr>
            </w:pPr>
            <w:r>
              <w:rPr>
                <w:rFonts w:ascii="Arial" w:eastAsia="Arial" w:hAnsi="Arial" w:cs="Arial"/>
                <w:sz w:val="20"/>
                <w:szCs w:val="20"/>
              </w:rPr>
              <w:t>INDEPENDENT PRACTICE.</w:t>
            </w:r>
            <w:r>
              <w:rPr>
                <w:rFonts w:ascii="DINCond-Bold" w:eastAsia="DINCond-Bold" w:hAnsi="DINCond-Bold" w:cs="DINCond-Bold"/>
                <w:sz w:val="20"/>
                <w:szCs w:val="20"/>
              </w:rPr>
              <w:t xml:space="preserve"> </w:t>
            </w:r>
          </w:p>
        </w:tc>
        <w:tc>
          <w:tcPr>
            <w:tcW w:w="1845" w:type="dxa"/>
            <w:vMerge/>
          </w:tcPr>
          <w:p w14:paraId="13A3090E" w14:textId="77777777" w:rsidR="001A5D0B" w:rsidRDefault="001A5D0B">
            <w:pPr>
              <w:widowControl w:val="0"/>
              <w:pBdr>
                <w:top w:val="nil"/>
                <w:left w:val="nil"/>
                <w:bottom w:val="nil"/>
                <w:right w:val="nil"/>
                <w:between w:val="nil"/>
              </w:pBdr>
              <w:spacing w:line="276" w:lineRule="auto"/>
              <w:rPr>
                <w:rFonts w:ascii="DINCond-Bold" w:eastAsia="DINCond-Bold" w:hAnsi="DINCond-Bold" w:cs="DINCond-Bold"/>
                <w:sz w:val="20"/>
                <w:szCs w:val="20"/>
              </w:rPr>
            </w:pPr>
          </w:p>
        </w:tc>
      </w:tr>
      <w:tr w:rsidR="001A5D0B" w14:paraId="2D34C7D9" w14:textId="77777777">
        <w:trPr>
          <w:trHeight w:val="140"/>
          <w:jc w:val="center"/>
        </w:trPr>
        <w:tc>
          <w:tcPr>
            <w:tcW w:w="742" w:type="dxa"/>
            <w:vMerge/>
          </w:tcPr>
          <w:p w14:paraId="205ABF88" w14:textId="77777777" w:rsidR="001A5D0B" w:rsidRDefault="001A5D0B">
            <w:pPr>
              <w:widowControl w:val="0"/>
              <w:pBdr>
                <w:top w:val="nil"/>
                <w:left w:val="nil"/>
                <w:bottom w:val="nil"/>
                <w:right w:val="nil"/>
                <w:between w:val="nil"/>
              </w:pBdr>
              <w:spacing w:line="276" w:lineRule="auto"/>
              <w:rPr>
                <w:rFonts w:ascii="DINCond-Bold" w:eastAsia="DINCond-Bold" w:hAnsi="DINCond-Bold" w:cs="DINCond-Bold"/>
                <w:sz w:val="20"/>
                <w:szCs w:val="20"/>
              </w:rPr>
            </w:pPr>
          </w:p>
        </w:tc>
        <w:tc>
          <w:tcPr>
            <w:tcW w:w="8017" w:type="dxa"/>
          </w:tcPr>
          <w:p w14:paraId="2B078435" w14:textId="77777777" w:rsidR="006B1221" w:rsidRDefault="006B1221">
            <w:pPr>
              <w:rPr>
                <w:rFonts w:ascii="EB Garamond" w:eastAsia="Garamond" w:hAnsi="EB Garamond" w:cs="Garamond"/>
                <w:sz w:val="20"/>
                <w:szCs w:val="20"/>
              </w:rPr>
            </w:pPr>
            <w:r>
              <w:rPr>
                <w:rFonts w:ascii="EB Garamond" w:eastAsia="Garamond" w:hAnsi="EB Garamond" w:cs="Garamond"/>
                <w:sz w:val="20"/>
                <w:szCs w:val="20"/>
              </w:rPr>
              <w:t>Students will compare their food web with one made by a classmate to see the differences. Because food webs are complex and dynamic there is no single correct answer. this is especially true of extinct ecosystems because unless we find fossils of one species in the stomach of another, we have no way of knowing for sure that one species ate another.</w:t>
            </w:r>
          </w:p>
          <w:p w14:paraId="542CE62A" w14:textId="77777777" w:rsidR="006B1221" w:rsidRDefault="006B1221">
            <w:pPr>
              <w:rPr>
                <w:rFonts w:ascii="EB Garamond" w:eastAsia="Garamond" w:hAnsi="EB Garamond" w:cs="Garamond"/>
                <w:sz w:val="20"/>
                <w:szCs w:val="20"/>
              </w:rPr>
            </w:pPr>
          </w:p>
          <w:p w14:paraId="48C98F9D" w14:textId="2BE4AFEB" w:rsidR="001A5D0B" w:rsidRPr="006B1221" w:rsidRDefault="006B1221">
            <w:pPr>
              <w:rPr>
                <w:rFonts w:ascii="EB Garamond" w:eastAsia="Garamond" w:hAnsi="EB Garamond" w:cs="Garamond"/>
                <w:sz w:val="20"/>
                <w:szCs w:val="20"/>
              </w:rPr>
            </w:pPr>
            <w:r>
              <w:rPr>
                <w:rFonts w:ascii="EB Garamond" w:eastAsia="Garamond" w:hAnsi="EB Garamond" w:cs="Garamond"/>
                <w:sz w:val="20"/>
                <w:szCs w:val="20"/>
              </w:rPr>
              <w:t>Students will find their favorite animal in the food web and follow the energy up to it from the single-celled producers to see where their chosen animal falls.</w:t>
            </w:r>
          </w:p>
          <w:p w14:paraId="7797645B" w14:textId="77777777" w:rsidR="001A5D0B" w:rsidRDefault="001A5D0B">
            <w:pPr>
              <w:rPr>
                <w:rFonts w:ascii="Garamond" w:eastAsia="Garamond" w:hAnsi="Garamond" w:cs="Garamond"/>
                <w:sz w:val="22"/>
                <w:szCs w:val="22"/>
              </w:rPr>
            </w:pPr>
          </w:p>
        </w:tc>
        <w:tc>
          <w:tcPr>
            <w:tcW w:w="1845" w:type="dxa"/>
            <w:vMerge/>
          </w:tcPr>
          <w:p w14:paraId="05F1ED99"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r>
      <w:tr w:rsidR="001A5D0B" w14:paraId="343709D7" w14:textId="77777777">
        <w:trPr>
          <w:trHeight w:val="140"/>
          <w:jc w:val="center"/>
        </w:trPr>
        <w:tc>
          <w:tcPr>
            <w:tcW w:w="742" w:type="dxa"/>
            <w:vMerge/>
          </w:tcPr>
          <w:p w14:paraId="5CE38B53"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c>
          <w:tcPr>
            <w:tcW w:w="8017" w:type="dxa"/>
            <w:shd w:val="clear" w:color="auto" w:fill="E6E6E6"/>
          </w:tcPr>
          <w:p w14:paraId="2064D189" w14:textId="77777777" w:rsidR="001A5D0B" w:rsidRDefault="0011164B">
            <w:pPr>
              <w:rPr>
                <w:rFonts w:ascii="EB Garamond" w:eastAsia="EB Garamond" w:hAnsi="EB Garamond" w:cs="EB Garamond"/>
                <w:sz w:val="20"/>
                <w:szCs w:val="20"/>
              </w:rPr>
            </w:pPr>
            <w:r>
              <w:rPr>
                <w:rFonts w:ascii="Arial" w:eastAsia="Arial" w:hAnsi="Arial" w:cs="Arial"/>
                <w:sz w:val="20"/>
                <w:szCs w:val="20"/>
              </w:rPr>
              <w:t>CLOSING.</w:t>
            </w:r>
            <w:r>
              <w:rPr>
                <w:rFonts w:ascii="DINCond-Bold" w:eastAsia="DINCond-Bold" w:hAnsi="DINCond-Bold" w:cs="DINCond-Bold"/>
                <w:sz w:val="20"/>
                <w:szCs w:val="20"/>
              </w:rPr>
              <w:t xml:space="preserve"> </w:t>
            </w:r>
          </w:p>
        </w:tc>
        <w:tc>
          <w:tcPr>
            <w:tcW w:w="1845" w:type="dxa"/>
            <w:vMerge/>
          </w:tcPr>
          <w:p w14:paraId="56C73B33"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0"/>
                <w:szCs w:val="20"/>
              </w:rPr>
            </w:pPr>
          </w:p>
        </w:tc>
      </w:tr>
      <w:tr w:rsidR="001A5D0B" w14:paraId="5C2C9AA9" w14:textId="77777777">
        <w:trPr>
          <w:trHeight w:val="820"/>
          <w:jc w:val="center"/>
        </w:trPr>
        <w:tc>
          <w:tcPr>
            <w:tcW w:w="742" w:type="dxa"/>
            <w:vMerge/>
          </w:tcPr>
          <w:p w14:paraId="3E814FAD" w14:textId="77777777" w:rsidR="001A5D0B" w:rsidRDefault="001A5D0B">
            <w:pPr>
              <w:widowControl w:val="0"/>
              <w:pBdr>
                <w:top w:val="nil"/>
                <w:left w:val="nil"/>
                <w:bottom w:val="nil"/>
                <w:right w:val="nil"/>
                <w:between w:val="nil"/>
              </w:pBdr>
              <w:spacing w:line="276" w:lineRule="auto"/>
              <w:rPr>
                <w:rFonts w:ascii="EB Garamond" w:eastAsia="EB Garamond" w:hAnsi="EB Garamond" w:cs="EB Garamond"/>
                <w:sz w:val="20"/>
                <w:szCs w:val="20"/>
              </w:rPr>
            </w:pPr>
          </w:p>
        </w:tc>
        <w:tc>
          <w:tcPr>
            <w:tcW w:w="8017" w:type="dxa"/>
            <w:tcBorders>
              <w:bottom w:val="single" w:sz="4" w:space="0" w:color="000000"/>
            </w:tcBorders>
          </w:tcPr>
          <w:p w14:paraId="01DA8022" w14:textId="7D0A4203" w:rsidR="001A5D0B" w:rsidRPr="006B1221" w:rsidRDefault="006B1221">
            <w:pPr>
              <w:rPr>
                <w:rFonts w:ascii="EB Garamond" w:eastAsia="Garamond" w:hAnsi="EB Garamond" w:cs="Garamond"/>
                <w:sz w:val="20"/>
                <w:szCs w:val="20"/>
              </w:rPr>
            </w:pPr>
            <w:r>
              <w:rPr>
                <w:rFonts w:ascii="EB Garamond" w:eastAsia="Garamond" w:hAnsi="EB Garamond" w:cs="Garamond"/>
                <w:sz w:val="20"/>
                <w:szCs w:val="20"/>
              </w:rPr>
              <w:t>Students will finish by comparing marine and terrestrial ecosystems once again using the knowledge gained from this activity.</w:t>
            </w:r>
          </w:p>
        </w:tc>
        <w:tc>
          <w:tcPr>
            <w:tcW w:w="1845" w:type="dxa"/>
            <w:vMerge/>
          </w:tcPr>
          <w:p w14:paraId="36725B7D" w14:textId="77777777" w:rsidR="001A5D0B" w:rsidRDefault="001A5D0B">
            <w:pPr>
              <w:widowControl w:val="0"/>
              <w:pBdr>
                <w:top w:val="nil"/>
                <w:left w:val="nil"/>
                <w:bottom w:val="nil"/>
                <w:right w:val="nil"/>
                <w:between w:val="nil"/>
              </w:pBdr>
              <w:spacing w:line="276" w:lineRule="auto"/>
              <w:rPr>
                <w:rFonts w:ascii="Garamond" w:eastAsia="Garamond" w:hAnsi="Garamond" w:cs="Garamond"/>
                <w:sz w:val="22"/>
                <w:szCs w:val="22"/>
              </w:rPr>
            </w:pPr>
          </w:p>
        </w:tc>
      </w:tr>
    </w:tbl>
    <w:p w14:paraId="3636247B" w14:textId="77777777" w:rsidR="001A5D0B" w:rsidRDefault="001A5D0B"/>
    <w:p w14:paraId="4891A410" w14:textId="0F681C48" w:rsidR="001A5D0B" w:rsidRDefault="00DF389C">
      <w:r>
        <w:rPr>
          <w:noProof/>
        </w:rPr>
        <w:lastRenderedPageBreak/>
        <w:drawing>
          <wp:inline distT="0" distB="0" distL="0" distR="0" wp14:anchorId="2811B03A" wp14:editId="3F8BF7D3">
            <wp:extent cx="5943600" cy="5943600"/>
            <wp:effectExtent l="0" t="0" r="0" b="0"/>
            <wp:docPr id="2" name="Picture 2" descr="A picture containing bird, group, flock,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dwe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1A5D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INCond-Bold">
    <w:altName w:val="Calibri"/>
    <w:panose1 w:val="020B0604020202020204"/>
    <w:charset w:val="00"/>
    <w:family w:val="auto"/>
    <w:pitch w:val="default"/>
  </w:font>
  <w:font w:name="EB Garamond">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272138"/>
    <w:multiLevelType w:val="hybridMultilevel"/>
    <w:tmpl w:val="1CF4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09013C"/>
    <w:multiLevelType w:val="hybridMultilevel"/>
    <w:tmpl w:val="F400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D0B"/>
    <w:rsid w:val="0011164B"/>
    <w:rsid w:val="00180F21"/>
    <w:rsid w:val="001A5D0B"/>
    <w:rsid w:val="003048B8"/>
    <w:rsid w:val="00541612"/>
    <w:rsid w:val="005445B7"/>
    <w:rsid w:val="006B1221"/>
    <w:rsid w:val="006E68AF"/>
    <w:rsid w:val="00794FD7"/>
    <w:rsid w:val="00820DB1"/>
    <w:rsid w:val="00824D11"/>
    <w:rsid w:val="00864495"/>
    <w:rsid w:val="00900C01"/>
    <w:rsid w:val="009D7822"/>
    <w:rsid w:val="00BD6D83"/>
    <w:rsid w:val="00CF40E3"/>
    <w:rsid w:val="00DF3208"/>
    <w:rsid w:val="00DF389C"/>
    <w:rsid w:val="00E6158F"/>
    <w:rsid w:val="00EB7683"/>
    <w:rsid w:val="00F0203E"/>
    <w:rsid w:val="00FF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82115"/>
  <w15:docId w15:val="{3830B091-C0C1-4599-BB6A-20223225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DINCond-Bold" w:eastAsia="DINCond-Bold" w:hAnsi="DINCond-Bold" w:cs="DINCond-Bold"/>
      <w:sz w:val="36"/>
      <w:szCs w:val="36"/>
    </w:rPr>
  </w:style>
  <w:style w:type="paragraph" w:styleId="Heading2">
    <w:name w:val="heading 2"/>
    <w:basedOn w:val="Normal"/>
    <w:next w:val="Normal"/>
    <w:uiPriority w:val="9"/>
    <w:semiHidden/>
    <w:unhideWhenUsed/>
    <w:qFormat/>
    <w:pPr>
      <w:keepNext/>
      <w:jc w:val="right"/>
      <w:outlineLvl w:val="1"/>
    </w:pPr>
    <w:rPr>
      <w:rFonts w:ascii="EB Garamond" w:eastAsia="EB Garamond" w:hAnsi="EB Garamond" w:cs="EB Garamond"/>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5445B7"/>
    <w:pPr>
      <w:ind w:left="720"/>
      <w:contextualSpacing/>
    </w:pPr>
  </w:style>
  <w:style w:type="paragraph" w:styleId="BalloonText">
    <w:name w:val="Balloon Text"/>
    <w:basedOn w:val="Normal"/>
    <w:link w:val="BalloonTextChar"/>
    <w:uiPriority w:val="99"/>
    <w:semiHidden/>
    <w:unhideWhenUsed/>
    <w:rsid w:val="00544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5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B0C1658EAAFE4986DAF3A9C00CD552" ma:contentTypeVersion="2" ma:contentTypeDescription="Create a new document." ma:contentTypeScope="" ma:versionID="715894f1daff0b9e3843a13f55605183">
  <xsd:schema xmlns:xsd="http://www.w3.org/2001/XMLSchema" xmlns:xs="http://www.w3.org/2001/XMLSchema" xmlns:p="http://schemas.microsoft.com/office/2006/metadata/properties" xmlns:ns2="c52ce928-5134-45e6-99cb-75fa4e4a1f07" targetNamespace="http://schemas.microsoft.com/office/2006/metadata/properties" ma:root="true" ma:fieldsID="7d4ee828c22f631f0c1a80abfa7ce6d8" ns2:_="">
    <xsd:import namespace="c52ce928-5134-45e6-99cb-75fa4e4a1f0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ce928-5134-45e6-99cb-75fa4e4a1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C4574-DB00-438E-89B6-23C4BAF9B058}">
  <ds:schemaRefs>
    <ds:schemaRef ds:uri="http://schemas.microsoft.com/sharepoint/v3/contenttype/forms"/>
  </ds:schemaRefs>
</ds:datastoreItem>
</file>

<file path=customXml/itemProps2.xml><?xml version="1.0" encoding="utf-8"?>
<ds:datastoreItem xmlns:ds="http://schemas.openxmlformats.org/officeDocument/2006/customXml" ds:itemID="{5ED642F6-2989-49FD-AA84-C63216397E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1BAD94-66B4-4AEB-80D8-1A6249220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ce928-5134-45e6-99cb-75fa4e4a1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Emily M.</dc:creator>
  <cp:lastModifiedBy>Jonathan Robert Hendricks</cp:lastModifiedBy>
  <cp:revision>11</cp:revision>
  <dcterms:created xsi:type="dcterms:W3CDTF">2020-03-27T14:50:00Z</dcterms:created>
  <dcterms:modified xsi:type="dcterms:W3CDTF">2020-06-19T16:11:00Z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0x01010019B0C1658EAAFE4986DAF3A9C00CD552</vt:lpwstr>
  </property>
</Properties>
</file>